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Минпросвещения России от 14.04.2023 N 272</w:t>
              <w:br/>
              <w:t xml:space="preserve">"Об утверждении аккредитационных показателей, методики расчета и применения аккредитационных показателей по образовательным программам среднего профессионального образования"</w:t>
              <w:br/>
              <w:t xml:space="preserve">(Зарегистрировано в Минюсте России 19.05.2023 N 73369)</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13.02.2026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19 мая 2023 г. N 73369</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ПРОСВЕЩЕНИЯ РОССИЙСКОЙ ФЕДЕРАЦИИ</w:t>
      </w:r>
    </w:p>
    <w:p>
      <w:pPr>
        <w:pStyle w:val="2"/>
        <w:jc w:val="both"/>
      </w:pPr>
      <w:r>
        <w:rPr>
          <w:sz w:val="20"/>
        </w:rPr>
      </w:r>
    </w:p>
    <w:p>
      <w:pPr>
        <w:pStyle w:val="2"/>
        <w:jc w:val="center"/>
      </w:pPr>
      <w:r>
        <w:rPr>
          <w:sz w:val="20"/>
        </w:rPr>
        <w:t xml:space="preserve">ПРИКАЗ</w:t>
      </w:r>
    </w:p>
    <w:p>
      <w:pPr>
        <w:pStyle w:val="2"/>
        <w:jc w:val="center"/>
      </w:pPr>
      <w:r>
        <w:rPr>
          <w:sz w:val="20"/>
        </w:rPr>
        <w:t xml:space="preserve">от 14 апреля 2023 г. N 272</w:t>
      </w:r>
    </w:p>
    <w:p>
      <w:pPr>
        <w:pStyle w:val="2"/>
        <w:jc w:val="both"/>
      </w:pPr>
      <w:r>
        <w:rPr>
          <w:sz w:val="20"/>
        </w:rPr>
      </w:r>
    </w:p>
    <w:p>
      <w:pPr>
        <w:pStyle w:val="2"/>
        <w:jc w:val="center"/>
      </w:pPr>
      <w:r>
        <w:rPr>
          <w:sz w:val="20"/>
        </w:rPr>
        <w:t xml:space="preserve">ОБ УТВЕРЖДЕНИИ АККРЕДИТАЦИОННЫХ ПОКАЗАТЕЛЕЙ,</w:t>
      </w:r>
    </w:p>
    <w:p>
      <w:pPr>
        <w:pStyle w:val="2"/>
        <w:jc w:val="center"/>
      </w:pPr>
      <w:r>
        <w:rPr>
          <w:sz w:val="20"/>
        </w:rPr>
        <w:t xml:space="preserve">МЕТОДИКИ РАСЧЕТА И ПРИМЕНЕНИЯ АККРЕДИТАЦИОННЫХ ПОКАЗАТЕЛЕЙ</w:t>
      </w:r>
    </w:p>
    <w:p>
      <w:pPr>
        <w:pStyle w:val="2"/>
        <w:jc w:val="center"/>
      </w:pPr>
      <w:r>
        <w:rPr>
          <w:sz w:val="20"/>
        </w:rPr>
        <w:t xml:space="preserve">ПО ОБРАЗОВАТЕЛЬНЫМ ПРОГРАММАМ СРЕДНЕГО</w:t>
      </w:r>
    </w:p>
    <w:p>
      <w:pPr>
        <w:pStyle w:val="2"/>
        <w:jc w:val="center"/>
      </w:pPr>
      <w:r>
        <w:rPr>
          <w:sz w:val="20"/>
        </w:rPr>
        <w:t xml:space="preserve">ПРОФЕССИОНАЛЬНОГО ОБРАЗОВАНИЯ</w:t>
      </w:r>
    </w:p>
    <w:p>
      <w:pPr>
        <w:pStyle w:val="0"/>
        <w:jc w:val="both"/>
      </w:pPr>
      <w:r>
        <w:rPr>
          <w:sz w:val="20"/>
        </w:rPr>
      </w:r>
    </w:p>
    <w:p>
      <w:pPr>
        <w:pStyle w:val="0"/>
        <w:ind w:firstLine="540"/>
        <w:jc w:val="both"/>
      </w:pPr>
      <w:r>
        <w:rPr>
          <w:sz w:val="20"/>
        </w:rPr>
        <w:t xml:space="preserve">В соответствии с </w:t>
      </w:r>
      <w:hyperlink w:history="0" r:id="rId8"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частью 4 статьи 92</w:t>
        </w:r>
      </w:hyperlink>
      <w:r>
        <w:rPr>
          <w:sz w:val="20"/>
        </w:rPr>
        <w:t xml:space="preserve"> Федерального закона от 29 декабря 2012 г. N 273-ФЗ "Об образовании в Российской Федерации", </w:t>
      </w:r>
      <w:hyperlink w:history="0" r:id="rId9"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пунктом 1</w:t>
        </w:r>
      </w:hyperlink>
      <w:r>
        <w:rPr>
          <w:sz w:val="20"/>
        </w:rPr>
        <w:t xml:space="preserve"> и </w:t>
      </w:r>
      <w:hyperlink w:history="0" r:id="rId10"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подпунктом 4.2.52.5 пункта 4</w:t>
        </w:r>
      </w:hyperlink>
      <w:r>
        <w:rPr>
          <w:sz w:val="20"/>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приказываю:</w:t>
      </w:r>
    </w:p>
    <w:p>
      <w:pPr>
        <w:pStyle w:val="0"/>
        <w:spacing w:before="200" w:lineRule="auto"/>
        <w:ind w:firstLine="540"/>
        <w:jc w:val="both"/>
      </w:pPr>
      <w:r>
        <w:rPr>
          <w:sz w:val="20"/>
        </w:rPr>
        <w:t xml:space="preserve">1. Утвердить по согласованию с Федеральной службой по надзору в сфере образования и науки прилагаемые аккредитационные </w:t>
      </w:r>
      <w:hyperlink w:history="0" w:anchor="P33" w:tooltip="АККРЕДИТАЦИОННЫЕ ПОКАЗАТЕЛИ,">
        <w:r>
          <w:rPr>
            <w:sz w:val="20"/>
            <w:color w:val="0000ff"/>
          </w:rPr>
          <w:t xml:space="preserve">показатели</w:t>
        </w:r>
      </w:hyperlink>
      <w:r>
        <w:rPr>
          <w:sz w:val="20"/>
        </w:rPr>
        <w:t xml:space="preserve">, методику расчета и применения аккредитационных показателей по образовательным программам среднего профессионального образования.</w:t>
      </w:r>
    </w:p>
    <w:p>
      <w:pPr>
        <w:pStyle w:val="0"/>
        <w:spacing w:before="200" w:lineRule="auto"/>
        <w:ind w:firstLine="540"/>
        <w:jc w:val="both"/>
      </w:pPr>
      <w:r>
        <w:rPr>
          <w:sz w:val="20"/>
        </w:rPr>
        <w:t xml:space="preserve">2. Признать утратившим силу </w:t>
      </w:r>
      <w:hyperlink w:history="0" r:id="rId11" w:tooltip="Приказ Минпросвещения России от 29.11.2021 N 869 &quot;Об утверждении аккредитационных показателей по образовательным программам среднего профессионального образования&quot; (Зарегистрировано в Минюсте России 30.11.2021 N 66123) ------------ Утратил силу или отменен {КонсультантПлюс}">
        <w:r>
          <w:rPr>
            <w:sz w:val="20"/>
            <w:color w:val="0000ff"/>
          </w:rPr>
          <w:t xml:space="preserve">приказ</w:t>
        </w:r>
      </w:hyperlink>
      <w:r>
        <w:rPr>
          <w:sz w:val="20"/>
        </w:rPr>
        <w:t xml:space="preserve"> Министерства просвещения Российской Федерации от 29 ноября 2021 г. N 869 "Об утверждении аккредитационных показателей по образовательным программам среднего профессионального образования" (зарегистрирован Министерством юстиции Российской Федерации 30 ноября 2021 г., регистрационный N 66123).</w:t>
      </w:r>
    </w:p>
    <w:p>
      <w:pPr>
        <w:pStyle w:val="0"/>
        <w:spacing w:before="200" w:lineRule="auto"/>
        <w:ind w:firstLine="540"/>
        <w:jc w:val="both"/>
      </w:pPr>
      <w:r>
        <w:rPr>
          <w:sz w:val="20"/>
        </w:rPr>
        <w:t xml:space="preserve">3. Настоящий приказ вступает в силу с 1 сентября 2023 г. и действует до 1 сентября 2029 года.</w:t>
      </w:r>
    </w:p>
    <w:p>
      <w:pPr>
        <w:pStyle w:val="0"/>
        <w:jc w:val="both"/>
      </w:pPr>
      <w:r>
        <w:rPr>
          <w:sz w:val="20"/>
        </w:rPr>
      </w:r>
    </w:p>
    <w:p>
      <w:pPr>
        <w:pStyle w:val="0"/>
        <w:jc w:val="right"/>
      </w:pPr>
      <w:r>
        <w:rPr>
          <w:sz w:val="20"/>
        </w:rPr>
        <w:t xml:space="preserve">Исполняющий обязанности Министра</w:t>
      </w:r>
    </w:p>
    <w:p>
      <w:pPr>
        <w:pStyle w:val="0"/>
        <w:jc w:val="right"/>
      </w:pPr>
      <w:r>
        <w:rPr>
          <w:sz w:val="20"/>
        </w:rPr>
        <w:t xml:space="preserve">А.А.КОРНЕЕВ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both"/>
      </w:pPr>
      <w:r>
        <w:rPr>
          <w:sz w:val="20"/>
        </w:rPr>
      </w:r>
    </w:p>
    <w:p>
      <w:pPr>
        <w:pStyle w:val="0"/>
        <w:jc w:val="right"/>
      </w:pPr>
      <w:r>
        <w:rPr>
          <w:sz w:val="20"/>
        </w:rPr>
        <w:t xml:space="preserve">Утверждены</w:t>
      </w:r>
    </w:p>
    <w:p>
      <w:pPr>
        <w:pStyle w:val="0"/>
        <w:jc w:val="right"/>
      </w:pPr>
      <w:r>
        <w:rPr>
          <w:sz w:val="20"/>
        </w:rPr>
        <w:t xml:space="preserve">приказом Министерства просвещения</w:t>
      </w:r>
    </w:p>
    <w:p>
      <w:pPr>
        <w:pStyle w:val="0"/>
        <w:jc w:val="right"/>
      </w:pPr>
      <w:r>
        <w:rPr>
          <w:sz w:val="20"/>
        </w:rPr>
        <w:t xml:space="preserve">Российской Федерации</w:t>
      </w:r>
    </w:p>
    <w:p>
      <w:pPr>
        <w:pStyle w:val="0"/>
        <w:jc w:val="right"/>
      </w:pPr>
      <w:r>
        <w:rPr>
          <w:sz w:val="20"/>
        </w:rPr>
        <w:t xml:space="preserve">от 14 апреля 2023 г. N 272</w:t>
      </w:r>
    </w:p>
    <w:p>
      <w:pPr>
        <w:pStyle w:val="0"/>
        <w:jc w:val="both"/>
      </w:pPr>
      <w:r>
        <w:rPr>
          <w:sz w:val="20"/>
        </w:rPr>
      </w:r>
    </w:p>
    <w:bookmarkStart w:id="33" w:name="P33"/>
    <w:bookmarkEnd w:id="33"/>
    <w:p>
      <w:pPr>
        <w:pStyle w:val="2"/>
        <w:jc w:val="center"/>
      </w:pPr>
      <w:r>
        <w:rPr>
          <w:sz w:val="20"/>
        </w:rPr>
        <w:t xml:space="preserve">АККРЕДИТАЦИОННЫЕ ПОКАЗАТЕЛИ,</w:t>
      </w:r>
    </w:p>
    <w:p>
      <w:pPr>
        <w:pStyle w:val="2"/>
        <w:jc w:val="center"/>
      </w:pPr>
      <w:r>
        <w:rPr>
          <w:sz w:val="20"/>
        </w:rPr>
        <w:t xml:space="preserve">МЕТОДИКА РАСЧЕТА И ПРИМЕНЕНИЯ АККРЕДИТАЦИОННЫХ</w:t>
      </w:r>
    </w:p>
    <w:p>
      <w:pPr>
        <w:pStyle w:val="2"/>
        <w:jc w:val="center"/>
      </w:pPr>
      <w:r>
        <w:rPr>
          <w:sz w:val="20"/>
        </w:rPr>
        <w:t xml:space="preserve">ПОКАЗАТЕЛЕЙ ПО ОБРАЗОВАТЕЛЬНЫМ ПРОГРАММАМ СРЕДНЕГО</w:t>
      </w:r>
    </w:p>
    <w:p>
      <w:pPr>
        <w:pStyle w:val="2"/>
        <w:jc w:val="center"/>
      </w:pPr>
      <w:r>
        <w:rPr>
          <w:sz w:val="20"/>
        </w:rPr>
        <w:t xml:space="preserve">ПРОФЕССИОНАЛЬНОГО ОБРАЗОВАНИЯ</w:t>
      </w:r>
    </w:p>
    <w:p>
      <w:pPr>
        <w:pStyle w:val="0"/>
        <w:jc w:val="both"/>
      </w:pPr>
      <w:r>
        <w:rPr>
          <w:sz w:val="20"/>
        </w:rPr>
      </w:r>
    </w:p>
    <w:p>
      <w:pPr>
        <w:pStyle w:val="2"/>
        <w:outlineLvl w:val="1"/>
        <w:jc w:val="center"/>
      </w:pPr>
      <w:r>
        <w:rPr>
          <w:sz w:val="20"/>
        </w:rPr>
        <w:t xml:space="preserve">I. Аккредитационные показатели по образовательным</w:t>
      </w:r>
    </w:p>
    <w:p>
      <w:pPr>
        <w:pStyle w:val="2"/>
        <w:jc w:val="center"/>
      </w:pPr>
      <w:r>
        <w:rPr>
          <w:sz w:val="20"/>
        </w:rPr>
        <w:t xml:space="preserve">программам среднего профессионального образования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04"/>
        <w:gridCol w:w="4649"/>
        <w:gridCol w:w="2324"/>
        <w:gridCol w:w="1579"/>
      </w:tblGrid>
      <w:tr>
        <w:tc>
          <w:tcPr>
            <w:tcW w:w="504" w:type="dxa"/>
          </w:tcPr>
          <w:p>
            <w:pPr>
              <w:pStyle w:val="0"/>
              <w:jc w:val="center"/>
            </w:pPr>
            <w:r>
              <w:rPr>
                <w:sz w:val="20"/>
              </w:rPr>
              <w:t xml:space="preserve">N п/п</w:t>
            </w:r>
          </w:p>
        </w:tc>
        <w:tc>
          <w:tcPr>
            <w:tcW w:w="4649" w:type="dxa"/>
          </w:tcPr>
          <w:p>
            <w:pPr>
              <w:pStyle w:val="0"/>
              <w:jc w:val="center"/>
            </w:pPr>
            <w:r>
              <w:rPr>
                <w:sz w:val="20"/>
              </w:rPr>
              <w:t xml:space="preserve">Наименование аккредитационного показателя</w:t>
            </w:r>
          </w:p>
        </w:tc>
        <w:tc>
          <w:tcPr>
            <w:tcW w:w="2324" w:type="dxa"/>
          </w:tcPr>
          <w:p>
            <w:pPr>
              <w:pStyle w:val="0"/>
              <w:jc w:val="center"/>
            </w:pPr>
            <w:r>
              <w:rPr>
                <w:sz w:val="20"/>
              </w:rPr>
              <w:t xml:space="preserve">Критериальное значение аккредитационного показателя</w:t>
            </w:r>
          </w:p>
        </w:tc>
        <w:tc>
          <w:tcPr>
            <w:tcW w:w="1579" w:type="dxa"/>
          </w:tcPr>
          <w:p>
            <w:pPr>
              <w:pStyle w:val="0"/>
              <w:jc w:val="center"/>
            </w:pPr>
            <w:r>
              <w:rPr>
                <w:sz w:val="20"/>
              </w:rPr>
              <w:t xml:space="preserve">Количество баллов</w:t>
            </w:r>
          </w:p>
        </w:tc>
      </w:tr>
      <w:tr>
        <w:tc>
          <w:tcPr>
            <w:tcW w:w="504" w:type="dxa"/>
            <w:vMerge w:val="restart"/>
          </w:tcPr>
          <w:p>
            <w:pPr>
              <w:pStyle w:val="0"/>
              <w:jc w:val="center"/>
            </w:pPr>
            <w:r>
              <w:rPr>
                <w:sz w:val="20"/>
              </w:rPr>
              <w:t xml:space="preserve">1</w:t>
            </w:r>
          </w:p>
        </w:tc>
        <w:tc>
          <w:tcPr>
            <w:tcW w:w="4649" w:type="dxa"/>
            <w:vMerge w:val="restart"/>
          </w:tcPr>
          <w:p>
            <w:pPr>
              <w:pStyle w:val="0"/>
              <w:jc w:val="both"/>
            </w:pPr>
            <w:r>
              <w:rPr>
                <w:sz w:val="20"/>
              </w:rPr>
              <w:t xml:space="preserve">Доля педагогических работников, обеспечивающих освоение обучающимися профессиональных модулей образовательной программы среднего профессионального образования, имеющих опыт деятельности не менее одного года в организациях, направление деятельности которых соответствует области профессиональной деятельности, в общей численности педагогических работников, участвующих в реализации профессиональных модулей соответствующей образовательной программы среднего профессионального образования, - АП</w:t>
            </w:r>
            <w:r>
              <w:rPr>
                <w:sz w:val="20"/>
                <w:vertAlign w:val="subscript"/>
              </w:rPr>
              <w:t xml:space="preserve">1</w:t>
            </w:r>
          </w:p>
        </w:tc>
        <w:tc>
          <w:tcPr>
            <w:tcW w:w="2324" w:type="dxa"/>
          </w:tcPr>
          <w:p>
            <w:pPr>
              <w:pStyle w:val="0"/>
              <w:jc w:val="center"/>
            </w:pPr>
            <w:r>
              <w:rPr>
                <w:sz w:val="20"/>
              </w:rPr>
              <w:t xml:space="preserve">25% и более</w:t>
            </w:r>
          </w:p>
        </w:tc>
        <w:tc>
          <w:tcPr>
            <w:tcW w:w="1579" w:type="dxa"/>
          </w:tcPr>
          <w:p>
            <w:pPr>
              <w:pStyle w:val="0"/>
              <w:jc w:val="center"/>
            </w:pPr>
            <w:r>
              <w:rPr>
                <w:sz w:val="20"/>
              </w:rPr>
              <w:t xml:space="preserve">10</w:t>
            </w:r>
          </w:p>
        </w:tc>
      </w:tr>
      <w:tr>
        <w:tc>
          <w:tcPr>
            <w:vMerge w:val="continue"/>
          </w:tcPr>
          <w:p/>
        </w:tc>
        <w:tc>
          <w:tcPr>
            <w:vMerge w:val="continue"/>
          </w:tcPr>
          <w:p/>
        </w:tc>
        <w:tc>
          <w:tcPr>
            <w:tcW w:w="2324" w:type="dxa"/>
          </w:tcPr>
          <w:p>
            <w:pPr>
              <w:pStyle w:val="0"/>
              <w:jc w:val="center"/>
            </w:pPr>
            <w:r>
              <w:rPr>
                <w:sz w:val="20"/>
              </w:rPr>
              <w:t xml:space="preserve">Менее 25%</w:t>
            </w:r>
          </w:p>
        </w:tc>
        <w:tc>
          <w:tcPr>
            <w:tcW w:w="1579" w:type="dxa"/>
          </w:tcPr>
          <w:p>
            <w:pPr>
              <w:pStyle w:val="0"/>
              <w:jc w:val="center"/>
            </w:pPr>
            <w:r>
              <w:rPr>
                <w:sz w:val="20"/>
              </w:rPr>
              <w:t xml:space="preserve">0</w:t>
            </w:r>
          </w:p>
        </w:tc>
      </w:tr>
      <w:tr>
        <w:tc>
          <w:tcPr>
            <w:tcW w:w="504" w:type="dxa"/>
            <w:vMerge w:val="restart"/>
          </w:tcPr>
          <w:p>
            <w:pPr>
              <w:pStyle w:val="0"/>
              <w:jc w:val="center"/>
            </w:pPr>
            <w:r>
              <w:rPr>
                <w:sz w:val="20"/>
              </w:rPr>
              <w:t xml:space="preserve">2</w:t>
            </w:r>
          </w:p>
        </w:tc>
        <w:tc>
          <w:tcPr>
            <w:tcW w:w="4649" w:type="dxa"/>
            <w:vMerge w:val="restart"/>
          </w:tcPr>
          <w:p>
            <w:pPr>
              <w:pStyle w:val="0"/>
              <w:jc w:val="both"/>
            </w:pPr>
            <w:r>
              <w:rPr>
                <w:sz w:val="20"/>
              </w:rPr>
              <w:t xml:space="preserve">Наличие электронной информационно-образовательной среды - АП</w:t>
            </w:r>
            <w:r>
              <w:rPr>
                <w:sz w:val="20"/>
                <w:vertAlign w:val="subscript"/>
              </w:rPr>
              <w:t xml:space="preserve">2</w:t>
            </w:r>
          </w:p>
        </w:tc>
        <w:tc>
          <w:tcPr>
            <w:tcW w:w="2324" w:type="dxa"/>
          </w:tcPr>
          <w:p>
            <w:pPr>
              <w:pStyle w:val="0"/>
              <w:jc w:val="center"/>
            </w:pPr>
            <w:r>
              <w:rPr>
                <w:sz w:val="20"/>
              </w:rPr>
              <w:t xml:space="preserve">Имеется</w:t>
            </w:r>
          </w:p>
        </w:tc>
        <w:tc>
          <w:tcPr>
            <w:tcW w:w="1579" w:type="dxa"/>
          </w:tcPr>
          <w:p>
            <w:pPr>
              <w:pStyle w:val="0"/>
              <w:jc w:val="center"/>
            </w:pPr>
            <w:r>
              <w:rPr>
                <w:sz w:val="20"/>
              </w:rPr>
              <w:t xml:space="preserve">5</w:t>
            </w:r>
          </w:p>
        </w:tc>
      </w:tr>
      <w:tr>
        <w:tc>
          <w:tcPr>
            <w:vMerge w:val="continue"/>
          </w:tcPr>
          <w:p/>
        </w:tc>
        <w:tc>
          <w:tcPr>
            <w:vMerge w:val="continue"/>
          </w:tcPr>
          <w:p/>
        </w:tc>
        <w:tc>
          <w:tcPr>
            <w:tcW w:w="2324" w:type="dxa"/>
          </w:tcPr>
          <w:p>
            <w:pPr>
              <w:pStyle w:val="0"/>
              <w:jc w:val="center"/>
            </w:pPr>
            <w:r>
              <w:rPr>
                <w:sz w:val="20"/>
              </w:rPr>
              <w:t xml:space="preserve">Не имеется</w:t>
            </w:r>
          </w:p>
        </w:tc>
        <w:tc>
          <w:tcPr>
            <w:tcW w:w="1579" w:type="dxa"/>
          </w:tcPr>
          <w:p>
            <w:pPr>
              <w:pStyle w:val="0"/>
              <w:jc w:val="center"/>
            </w:pPr>
            <w:r>
              <w:rPr>
                <w:sz w:val="20"/>
              </w:rPr>
              <w:t xml:space="preserve">0</w:t>
            </w:r>
          </w:p>
        </w:tc>
      </w:tr>
      <w:tr>
        <w:tc>
          <w:tcPr>
            <w:tcW w:w="504" w:type="dxa"/>
            <w:vMerge w:val="restart"/>
          </w:tcPr>
          <w:p>
            <w:pPr>
              <w:pStyle w:val="0"/>
              <w:jc w:val="center"/>
            </w:pPr>
            <w:r>
              <w:rPr>
                <w:sz w:val="20"/>
              </w:rPr>
              <w:t xml:space="preserve">3</w:t>
            </w:r>
          </w:p>
        </w:tc>
        <w:tc>
          <w:tcPr>
            <w:tcW w:w="4649" w:type="dxa"/>
            <w:vMerge w:val="restart"/>
          </w:tcPr>
          <w:p>
            <w:pPr>
              <w:pStyle w:val="0"/>
              <w:jc w:val="both"/>
            </w:pPr>
            <w:r>
              <w:rPr>
                <w:sz w:val="20"/>
              </w:rPr>
              <w:t xml:space="preserve">Доля обучающихся, выполнивших 70% и более заданий диагностической работы в ходе оценивания достижения обучающимися результатов обучения по соответствующей образовательной программе среднего профессионального образования, в общем количестве обучающихся, выполнявших диагностическую работу, - АП</w:t>
            </w:r>
            <w:r>
              <w:rPr>
                <w:sz w:val="20"/>
                <w:vertAlign w:val="subscript"/>
              </w:rPr>
              <w:t xml:space="preserve">3</w:t>
            </w:r>
          </w:p>
        </w:tc>
        <w:tc>
          <w:tcPr>
            <w:tcW w:w="2324" w:type="dxa"/>
          </w:tcPr>
          <w:p>
            <w:pPr>
              <w:pStyle w:val="0"/>
              <w:jc w:val="center"/>
            </w:pPr>
            <w:r>
              <w:rPr>
                <w:sz w:val="20"/>
              </w:rPr>
              <w:t xml:space="preserve">65% и более</w:t>
            </w:r>
          </w:p>
        </w:tc>
        <w:tc>
          <w:tcPr>
            <w:tcW w:w="1579" w:type="dxa"/>
          </w:tcPr>
          <w:p>
            <w:pPr>
              <w:pStyle w:val="0"/>
              <w:jc w:val="center"/>
            </w:pPr>
            <w:r>
              <w:rPr>
                <w:sz w:val="20"/>
              </w:rPr>
              <w:t xml:space="preserve">20</w:t>
            </w:r>
          </w:p>
        </w:tc>
      </w:tr>
      <w:tr>
        <w:tc>
          <w:tcPr>
            <w:vMerge w:val="continue"/>
          </w:tcPr>
          <w:p/>
        </w:tc>
        <w:tc>
          <w:tcPr>
            <w:vMerge w:val="continue"/>
          </w:tcPr>
          <w:p/>
        </w:tc>
        <w:tc>
          <w:tcPr>
            <w:tcW w:w="2324" w:type="dxa"/>
          </w:tcPr>
          <w:p>
            <w:pPr>
              <w:pStyle w:val="0"/>
              <w:jc w:val="center"/>
            </w:pPr>
            <w:r>
              <w:rPr>
                <w:sz w:val="20"/>
              </w:rPr>
              <w:t xml:space="preserve">50% - 64%</w:t>
            </w:r>
          </w:p>
        </w:tc>
        <w:tc>
          <w:tcPr>
            <w:tcW w:w="1579" w:type="dxa"/>
          </w:tcPr>
          <w:p>
            <w:pPr>
              <w:pStyle w:val="0"/>
              <w:jc w:val="center"/>
            </w:pPr>
            <w:r>
              <w:rPr>
                <w:sz w:val="20"/>
              </w:rPr>
              <w:t xml:space="preserve">10</w:t>
            </w:r>
          </w:p>
        </w:tc>
      </w:tr>
      <w:tr>
        <w:tc>
          <w:tcPr>
            <w:vMerge w:val="continue"/>
          </w:tcPr>
          <w:p/>
        </w:tc>
        <w:tc>
          <w:tcPr>
            <w:vMerge w:val="continue"/>
          </w:tcPr>
          <w:p/>
        </w:tc>
        <w:tc>
          <w:tcPr>
            <w:tcW w:w="2324" w:type="dxa"/>
          </w:tcPr>
          <w:p>
            <w:pPr>
              <w:pStyle w:val="0"/>
              <w:jc w:val="center"/>
            </w:pPr>
            <w:r>
              <w:rPr>
                <w:sz w:val="20"/>
              </w:rPr>
              <w:t xml:space="preserve">Менее 50%</w:t>
            </w:r>
          </w:p>
        </w:tc>
        <w:tc>
          <w:tcPr>
            <w:tcW w:w="1579" w:type="dxa"/>
          </w:tcPr>
          <w:p>
            <w:pPr>
              <w:pStyle w:val="0"/>
              <w:jc w:val="center"/>
            </w:pPr>
            <w:r>
              <w:rPr>
                <w:sz w:val="20"/>
              </w:rPr>
              <w:t xml:space="preserve">0</w:t>
            </w:r>
          </w:p>
        </w:tc>
      </w:tr>
      <w:tr>
        <w:tc>
          <w:tcPr>
            <w:tcW w:w="504" w:type="dxa"/>
            <w:vMerge w:val="restart"/>
          </w:tcPr>
          <w:p>
            <w:pPr>
              <w:pStyle w:val="0"/>
              <w:jc w:val="center"/>
            </w:pPr>
            <w:r>
              <w:rPr>
                <w:sz w:val="20"/>
              </w:rPr>
              <w:t xml:space="preserve">4</w:t>
            </w:r>
          </w:p>
        </w:tc>
        <w:tc>
          <w:tcPr>
            <w:tcW w:w="4649" w:type="dxa"/>
            <w:vMerge w:val="restart"/>
          </w:tcPr>
          <w:p>
            <w:pPr>
              <w:pStyle w:val="0"/>
              <w:jc w:val="both"/>
            </w:pPr>
            <w:r>
              <w:rPr>
                <w:sz w:val="20"/>
              </w:rPr>
              <w:t xml:space="preserve">Наличие внутренней системы оценки качества образования - АП</w:t>
            </w:r>
            <w:r>
              <w:rPr>
                <w:sz w:val="20"/>
                <w:vertAlign w:val="subscript"/>
              </w:rPr>
              <w:t xml:space="preserve">4</w:t>
            </w:r>
          </w:p>
        </w:tc>
        <w:tc>
          <w:tcPr>
            <w:tcW w:w="2324" w:type="dxa"/>
          </w:tcPr>
          <w:p>
            <w:pPr>
              <w:pStyle w:val="0"/>
              <w:jc w:val="center"/>
            </w:pPr>
            <w:r>
              <w:rPr>
                <w:sz w:val="20"/>
              </w:rPr>
              <w:t xml:space="preserve">Имеется</w:t>
            </w:r>
          </w:p>
        </w:tc>
        <w:tc>
          <w:tcPr>
            <w:tcW w:w="1579" w:type="dxa"/>
          </w:tcPr>
          <w:p>
            <w:pPr>
              <w:pStyle w:val="0"/>
              <w:jc w:val="center"/>
            </w:pPr>
            <w:r>
              <w:rPr>
                <w:sz w:val="20"/>
              </w:rPr>
              <w:t xml:space="preserve">10</w:t>
            </w:r>
          </w:p>
        </w:tc>
      </w:tr>
      <w:tr>
        <w:tc>
          <w:tcPr>
            <w:vMerge w:val="continue"/>
          </w:tcPr>
          <w:p/>
        </w:tc>
        <w:tc>
          <w:tcPr>
            <w:vMerge w:val="continue"/>
          </w:tcPr>
          <w:p/>
        </w:tc>
        <w:tc>
          <w:tcPr>
            <w:tcW w:w="2324" w:type="dxa"/>
          </w:tcPr>
          <w:p>
            <w:pPr>
              <w:pStyle w:val="0"/>
              <w:jc w:val="center"/>
            </w:pPr>
            <w:r>
              <w:rPr>
                <w:sz w:val="20"/>
              </w:rPr>
              <w:t xml:space="preserve">Не имеется</w:t>
            </w:r>
          </w:p>
        </w:tc>
        <w:tc>
          <w:tcPr>
            <w:tcW w:w="1579" w:type="dxa"/>
          </w:tcPr>
          <w:p>
            <w:pPr>
              <w:pStyle w:val="0"/>
              <w:jc w:val="center"/>
            </w:pPr>
            <w:r>
              <w:rPr>
                <w:sz w:val="20"/>
              </w:rPr>
              <w:t xml:space="preserve">0</w:t>
            </w:r>
          </w:p>
        </w:tc>
      </w:tr>
    </w:tbl>
    <w:p>
      <w:pPr>
        <w:pStyle w:val="0"/>
        <w:jc w:val="both"/>
      </w:pPr>
      <w:r>
        <w:rPr>
          <w:sz w:val="20"/>
        </w:rPr>
      </w:r>
    </w:p>
    <w:p>
      <w:pPr>
        <w:pStyle w:val="2"/>
        <w:outlineLvl w:val="1"/>
        <w:jc w:val="center"/>
      </w:pPr>
      <w:r>
        <w:rPr>
          <w:sz w:val="20"/>
        </w:rPr>
        <w:t xml:space="preserve">II. Методика расчета и применения аккредитационных</w:t>
      </w:r>
    </w:p>
    <w:p>
      <w:pPr>
        <w:pStyle w:val="2"/>
        <w:jc w:val="center"/>
      </w:pPr>
      <w:r>
        <w:rPr>
          <w:sz w:val="20"/>
        </w:rPr>
        <w:t xml:space="preserve">показателей по образовательным программам среднего</w:t>
      </w:r>
    </w:p>
    <w:p>
      <w:pPr>
        <w:pStyle w:val="2"/>
        <w:jc w:val="center"/>
      </w:pPr>
      <w:r>
        <w:rPr>
          <w:sz w:val="20"/>
        </w:rPr>
        <w:t xml:space="preserve">профессионального образования</w:t>
      </w:r>
    </w:p>
    <w:p>
      <w:pPr>
        <w:pStyle w:val="0"/>
        <w:jc w:val="both"/>
      </w:pPr>
      <w:r>
        <w:rPr>
          <w:sz w:val="20"/>
        </w:rPr>
      </w:r>
    </w:p>
    <w:p>
      <w:pPr>
        <w:pStyle w:val="0"/>
        <w:ind w:firstLine="540"/>
        <w:jc w:val="both"/>
      </w:pPr>
      <w:r>
        <w:rPr>
          <w:sz w:val="20"/>
        </w:rPr>
        <w:t xml:space="preserve">Соответствие качества образования в профессиональной организации установленным аккредитационным показателям среднего профессионального образования определяется по значению итогового балла, которое определяется суммарным количеством баллов, установленных по каждому аккредитационному показателю.</w:t>
      </w:r>
    </w:p>
    <w:p>
      <w:pPr>
        <w:pStyle w:val="0"/>
        <w:spacing w:before="200" w:lineRule="auto"/>
        <w:ind w:firstLine="540"/>
        <w:jc w:val="both"/>
      </w:pPr>
      <w:r>
        <w:rPr>
          <w:sz w:val="20"/>
        </w:rPr>
        <w:t xml:space="preserve">Суммарное количество баллов (АП</w:t>
      </w:r>
      <w:r>
        <w:rPr>
          <w:sz w:val="20"/>
          <w:vertAlign w:val="subscript"/>
        </w:rPr>
        <w:t xml:space="preserve">сумма</w:t>
      </w:r>
      <w:r>
        <w:rPr>
          <w:sz w:val="20"/>
        </w:rPr>
        <w:t xml:space="preserve">) рассчитывается по формуле:</w:t>
      </w:r>
    </w:p>
    <w:p>
      <w:pPr>
        <w:pStyle w:val="0"/>
        <w:jc w:val="both"/>
      </w:pPr>
      <w:r>
        <w:rPr>
          <w:sz w:val="20"/>
        </w:rPr>
      </w:r>
    </w:p>
    <w:p>
      <w:pPr>
        <w:pStyle w:val="0"/>
        <w:jc w:val="center"/>
      </w:pPr>
      <w:r>
        <w:rPr>
          <w:sz w:val="20"/>
        </w:rPr>
        <w:t xml:space="preserve">АП</w:t>
      </w:r>
      <w:r>
        <w:rPr>
          <w:sz w:val="20"/>
          <w:vertAlign w:val="subscript"/>
        </w:rPr>
        <w:t xml:space="preserve">сумма</w:t>
      </w:r>
      <w:r>
        <w:rPr>
          <w:sz w:val="20"/>
        </w:rPr>
        <w:t xml:space="preserve"> = АП</w:t>
      </w:r>
      <w:r>
        <w:rPr>
          <w:sz w:val="20"/>
          <w:vertAlign w:val="subscript"/>
        </w:rPr>
        <w:t xml:space="preserve">1</w:t>
      </w:r>
      <w:r>
        <w:rPr>
          <w:sz w:val="20"/>
        </w:rPr>
        <w:t xml:space="preserve"> + АП</w:t>
      </w:r>
      <w:r>
        <w:rPr>
          <w:sz w:val="20"/>
          <w:vertAlign w:val="subscript"/>
        </w:rPr>
        <w:t xml:space="preserve">2</w:t>
      </w:r>
      <w:r>
        <w:rPr>
          <w:sz w:val="20"/>
        </w:rPr>
        <w:t xml:space="preserve"> + АП</w:t>
      </w:r>
      <w:r>
        <w:rPr>
          <w:sz w:val="20"/>
          <w:vertAlign w:val="subscript"/>
        </w:rPr>
        <w:t xml:space="preserve">3</w:t>
      </w:r>
      <w:r>
        <w:rPr>
          <w:sz w:val="20"/>
        </w:rPr>
        <w:t xml:space="preserve"> + АП</w:t>
      </w:r>
      <w:r>
        <w:rPr>
          <w:sz w:val="20"/>
          <w:vertAlign w:val="subscript"/>
        </w:rPr>
        <w:t xml:space="preserve">4</w:t>
      </w:r>
      <w:r>
        <w:rPr>
          <w:sz w:val="20"/>
        </w:rPr>
        <w:t xml:space="preserve">.</w:t>
      </w:r>
    </w:p>
    <w:p>
      <w:pPr>
        <w:pStyle w:val="0"/>
        <w:jc w:val="both"/>
      </w:pPr>
      <w:r>
        <w:rPr>
          <w:sz w:val="20"/>
        </w:rPr>
      </w:r>
    </w:p>
    <w:p>
      <w:pPr>
        <w:pStyle w:val="0"/>
        <w:ind w:firstLine="540"/>
        <w:jc w:val="both"/>
      </w:pPr>
      <w:r>
        <w:rPr>
          <w:sz w:val="20"/>
        </w:rPr>
        <w:t xml:space="preserve">Минимальное значение итогового балла составляет 35 баллов.</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3514"/>
        <w:gridCol w:w="4932"/>
      </w:tblGrid>
      <w:tr>
        <w:tc>
          <w:tcPr>
            <w:tcW w:w="624" w:type="dxa"/>
          </w:tcPr>
          <w:p>
            <w:pPr>
              <w:pStyle w:val="0"/>
              <w:jc w:val="center"/>
            </w:pPr>
            <w:r>
              <w:rPr>
                <w:sz w:val="20"/>
              </w:rPr>
              <w:t xml:space="preserve">N п/п</w:t>
            </w:r>
          </w:p>
        </w:tc>
        <w:tc>
          <w:tcPr>
            <w:tcW w:w="3514" w:type="dxa"/>
          </w:tcPr>
          <w:p>
            <w:pPr>
              <w:pStyle w:val="0"/>
              <w:jc w:val="center"/>
            </w:pPr>
            <w:r>
              <w:rPr>
                <w:sz w:val="20"/>
              </w:rPr>
              <w:t xml:space="preserve">Наименование аккредитационного показателя</w:t>
            </w:r>
          </w:p>
        </w:tc>
        <w:tc>
          <w:tcPr>
            <w:tcW w:w="4932" w:type="dxa"/>
          </w:tcPr>
          <w:p>
            <w:pPr>
              <w:pStyle w:val="0"/>
              <w:jc w:val="center"/>
            </w:pPr>
            <w:r>
              <w:rPr>
                <w:sz w:val="20"/>
              </w:rPr>
              <w:t xml:space="preserve">Методика расчета</w:t>
            </w:r>
          </w:p>
        </w:tc>
      </w:tr>
      <w:tr>
        <w:tc>
          <w:tcPr>
            <w:tcW w:w="624" w:type="dxa"/>
            <w:vMerge w:val="restart"/>
          </w:tcPr>
          <w:p>
            <w:pPr>
              <w:pStyle w:val="0"/>
              <w:jc w:val="center"/>
            </w:pPr>
            <w:r>
              <w:rPr>
                <w:sz w:val="20"/>
              </w:rPr>
              <w:t xml:space="preserve">1.</w:t>
            </w:r>
          </w:p>
        </w:tc>
        <w:tc>
          <w:tcPr>
            <w:tcW w:w="3514" w:type="dxa"/>
            <w:vMerge w:val="restart"/>
          </w:tcPr>
          <w:p>
            <w:pPr>
              <w:pStyle w:val="0"/>
              <w:jc w:val="both"/>
            </w:pPr>
            <w:r>
              <w:rPr>
                <w:sz w:val="20"/>
              </w:rPr>
              <w:t xml:space="preserve">Доля педагогических работников, обеспечивающих освоение обучающимися профессиональных модулей образовательной программы среднего профессионального образования, имеющих опыт деятельности не менее одного года в организациях, направление деятельности которых соответствует области профессиональной деятельности, в общей численности педагогических работников, участвующих в реализации профессиональных модулей соответствующей образовательной программы среднего профессионального образования, - АП</w:t>
            </w:r>
            <w:r>
              <w:rPr>
                <w:sz w:val="20"/>
                <w:vertAlign w:val="subscript"/>
              </w:rPr>
              <w:t xml:space="preserve">1</w:t>
            </w:r>
          </w:p>
        </w:tc>
        <w:tc>
          <w:tcPr>
            <w:tcW w:w="4932" w:type="dxa"/>
            <w:tcBorders>
              <w:bottom w:val="nil"/>
            </w:tcBorders>
          </w:tcPr>
          <w:p>
            <w:pPr>
              <w:pStyle w:val="0"/>
              <w:ind w:firstLine="283"/>
              <w:jc w:val="both"/>
            </w:pPr>
            <w:r>
              <w:rPr>
                <w:sz w:val="20"/>
              </w:rPr>
              <w:t xml:space="preserve">Показатель АП</w:t>
            </w:r>
            <w:r>
              <w:rPr>
                <w:sz w:val="20"/>
                <w:vertAlign w:val="subscript"/>
              </w:rPr>
              <w:t xml:space="preserve">1</w:t>
            </w:r>
            <w:r>
              <w:rPr>
                <w:sz w:val="20"/>
              </w:rPr>
              <w:t xml:space="preserve"> рассчитывается как отношение количества ставок педагогических работников, обеспечивающих освоение обучающимися профессиональных модулей образовательной программы среднего профессионального образования, имеющих опыт деятельности не менее одного года в организациях, направление деятельности которых соответствует области профессиональной деятельности (в том числе образовательных организаций), к общему количеству ставок педагогических работников, реализующих профессиональные модули образовательной программы, умноженное на 100%.</w:t>
            </w:r>
          </w:p>
          <w:p>
            <w:pPr>
              <w:pStyle w:val="0"/>
              <w:ind w:firstLine="283"/>
              <w:jc w:val="both"/>
            </w:pPr>
            <w:r>
              <w:rPr>
                <w:sz w:val="20"/>
              </w:rPr>
              <w:t xml:space="preserve">Показатель рассчитывается по формуле:</w:t>
            </w:r>
          </w:p>
        </w:tc>
      </w:tr>
      <w:tr>
        <w:tblPrEx>
          <w:tblBorders>
            <w:insideH w:val="nil"/>
          </w:tblBorders>
        </w:tblPrEx>
        <w:tc>
          <w:tcPr>
            <w:vMerge w:val="continue"/>
          </w:tcPr>
          <w:p/>
        </w:tc>
        <w:tc>
          <w:tcPr>
            <w:vMerge w:val="continue"/>
          </w:tcPr>
          <w:p/>
        </w:tc>
        <w:tc>
          <w:tcPr>
            <w:tcW w:w="4932" w:type="dxa"/>
            <w:tcBorders>
              <w:top w:val="nil"/>
              <w:bottom w:val="nil"/>
            </w:tcBorders>
          </w:tcPr>
          <w:p>
            <w:pPr>
              <w:pStyle w:val="0"/>
              <w:jc w:val="center"/>
            </w:pPr>
            <w:r>
              <w:rPr>
                <w:position w:val="-23"/>
              </w:rPr>
              <w:drawing>
                <wp:inline distT="0" distB="0" distL="0" distR="0">
                  <wp:extent cx="952500"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428625"/>
                          </a:xfrm>
                          <a:prstGeom prst="rect">
                            <a:avLst/>
                          </a:prstGeom>
                          <a:noFill/>
                          <a:ln>
                            <a:noFill/>
                          </a:ln>
                        </pic:spPr>
                      </pic:pic>
                    </a:graphicData>
                  </a:graphic>
                </wp:inline>
              </w:drawing>
            </w:r>
            <w:r>
              <w:rPr>
                <w:sz w:val="20"/>
              </w:rPr>
              <w:t xml:space="preserve">,</w:t>
            </w:r>
          </w:p>
        </w:tc>
      </w:tr>
      <w:tr>
        <w:tc>
          <w:tcPr>
            <w:vMerge w:val="continue"/>
          </w:tcPr>
          <w:p/>
        </w:tc>
        <w:tc>
          <w:tcPr>
            <w:vMerge w:val="continue"/>
          </w:tcPr>
          <w:p/>
        </w:tc>
        <w:tc>
          <w:tcPr>
            <w:tcW w:w="4932" w:type="dxa"/>
            <w:tcBorders>
              <w:top w:val="nil"/>
            </w:tcBorders>
          </w:tcPr>
          <w:p>
            <w:pPr>
              <w:pStyle w:val="0"/>
              <w:ind w:firstLine="283"/>
              <w:jc w:val="both"/>
            </w:pPr>
            <w:r>
              <w:rPr>
                <w:sz w:val="20"/>
              </w:rPr>
              <w:t xml:space="preserve">где:</w:t>
            </w:r>
          </w:p>
          <w:p>
            <w:pPr>
              <w:pStyle w:val="0"/>
              <w:ind w:firstLine="283"/>
              <w:jc w:val="both"/>
            </w:pPr>
            <w:r>
              <w:rPr>
                <w:sz w:val="20"/>
              </w:rPr>
              <w:t xml:space="preserve">a</w:t>
            </w:r>
            <w:r>
              <w:rPr>
                <w:sz w:val="20"/>
                <w:vertAlign w:val="subscript"/>
              </w:rPr>
              <w:t xml:space="preserve">1</w:t>
            </w:r>
            <w:r>
              <w:rPr>
                <w:sz w:val="20"/>
              </w:rPr>
              <w:t xml:space="preserve"> - количество ставок, занимаемых педагогическими работниками, обеспечивающими освоение обучающимися профессиональных модулей образовательной программы, имеющими опыт деятельности не менее одного года в организациях, направление деятельности которых соответствует области профессиональной деятельности, участвующими в реализации профессиональных модулей образовательной программы;</w:t>
            </w:r>
          </w:p>
          <w:p>
            <w:pPr>
              <w:pStyle w:val="0"/>
              <w:ind w:firstLine="283"/>
              <w:jc w:val="both"/>
            </w:pPr>
            <w:r>
              <w:rPr>
                <w:sz w:val="20"/>
              </w:rPr>
              <w:t xml:space="preserve">b</w:t>
            </w:r>
            <w:r>
              <w:rPr>
                <w:sz w:val="20"/>
                <w:vertAlign w:val="subscript"/>
              </w:rPr>
              <w:t xml:space="preserve">1</w:t>
            </w:r>
            <w:r>
              <w:rPr>
                <w:sz w:val="20"/>
              </w:rPr>
              <w:t xml:space="preserve"> - общее количество ставок, занимаемых педагогическими работниками, реализующими профессиональные модули образовательной программы.</w:t>
            </w:r>
          </w:p>
          <w:p>
            <w:pPr>
              <w:pStyle w:val="0"/>
              <w:ind w:firstLine="283"/>
              <w:jc w:val="both"/>
            </w:pPr>
            <w:r>
              <w:rPr>
                <w:sz w:val="20"/>
              </w:rPr>
              <w:t xml:space="preserve">При расчете показателя учитываются педагогические работники, обеспечивающие освоение обучающимися профессиональных модулей образовательной программы, в том числе внешние совместители и лица, работающие по договорам гражданско-правового характера.</w:t>
            </w:r>
          </w:p>
          <w:p>
            <w:pPr>
              <w:pStyle w:val="0"/>
              <w:ind w:firstLine="283"/>
              <w:jc w:val="both"/>
            </w:pPr>
            <w:r>
              <w:rPr>
                <w:sz w:val="20"/>
              </w:rPr>
              <w:t xml:space="preserve">Для педагогических работников, реализующих профессиональные модули образовательных программ среднего профессионального образования в области физической культуры и спорта, в области культуры и искусств, педагогического образования, к стажу работы в данной профессиональной области относится, в том числе педагогическая деятельность в профессиональной организации.</w:t>
            </w:r>
          </w:p>
          <w:p>
            <w:pPr>
              <w:pStyle w:val="0"/>
              <w:ind w:firstLine="283"/>
              <w:jc w:val="both"/>
            </w:pPr>
            <w:r>
              <w:rPr>
                <w:sz w:val="20"/>
              </w:rPr>
              <w:t xml:space="preserve">Информация по показателю предоставляется по старшему курсу очной формы обучения.</w:t>
            </w:r>
          </w:p>
          <w:p>
            <w:pPr>
              <w:pStyle w:val="0"/>
              <w:ind w:firstLine="283"/>
              <w:jc w:val="both"/>
            </w:pPr>
            <w:r>
              <w:rPr>
                <w:sz w:val="20"/>
              </w:rPr>
              <w:t xml:space="preserve">При отсутствии обучающихся по очной форме обучения указанная информация предоставляется по старшему курсу очно-заочной формы обучения.</w:t>
            </w:r>
          </w:p>
          <w:p>
            <w:pPr>
              <w:pStyle w:val="0"/>
              <w:ind w:firstLine="283"/>
              <w:jc w:val="both"/>
            </w:pPr>
            <w:r>
              <w:rPr>
                <w:sz w:val="20"/>
              </w:rPr>
              <w:t xml:space="preserve">При отсутствии обучающихся по очно-заочной форме обучения указанная информация предоставляется по старшему курсу заочной формы обучения.</w:t>
            </w:r>
          </w:p>
          <w:p>
            <w:pPr>
              <w:pStyle w:val="0"/>
              <w:ind w:firstLine="283"/>
              <w:jc w:val="both"/>
            </w:pPr>
            <w:r>
              <w:rPr>
                <w:sz w:val="20"/>
              </w:rPr>
              <w:t xml:space="preserve">Полученное при расчете показателя АП</w:t>
            </w:r>
            <w:r>
              <w:rPr>
                <w:sz w:val="20"/>
                <w:vertAlign w:val="subscript"/>
              </w:rPr>
              <w:t xml:space="preserve">1</w:t>
            </w:r>
            <w:r>
              <w:rPr>
                <w:sz w:val="20"/>
              </w:rPr>
              <w:t xml:space="preserve"> значение сопоставляется с критериальным значением и устанавливается количество баллов по данному показателю.</w:t>
            </w:r>
          </w:p>
          <w:p>
            <w:pPr>
              <w:pStyle w:val="0"/>
              <w:ind w:firstLine="283"/>
              <w:jc w:val="both"/>
            </w:pPr>
            <w:r>
              <w:rPr>
                <w:sz w:val="20"/>
              </w:rPr>
              <w:t xml:space="preserve">Отчетный период:</w:t>
            </w:r>
          </w:p>
          <w:p>
            <w:pPr>
              <w:pStyle w:val="0"/>
              <w:ind w:firstLine="283"/>
              <w:jc w:val="both"/>
            </w:pPr>
            <w:r>
              <w:rPr>
                <w:sz w:val="20"/>
              </w:rPr>
              <w:t xml:space="preserve">предоставляется актуальная информация.</w:t>
            </w:r>
          </w:p>
          <w:p>
            <w:pPr>
              <w:pStyle w:val="0"/>
              <w:ind w:firstLine="283"/>
              <w:jc w:val="both"/>
            </w:pPr>
            <w:r>
              <w:rPr>
                <w:sz w:val="20"/>
              </w:rPr>
              <w:t xml:space="preserve">Источники данных, необходимых для расчета показателя АП</w:t>
            </w:r>
            <w:r>
              <w:rPr>
                <w:sz w:val="20"/>
                <w:vertAlign w:val="subscript"/>
              </w:rPr>
              <w:t xml:space="preserve">1</w:t>
            </w:r>
            <w:r>
              <w:rPr>
                <w:sz w:val="20"/>
              </w:rPr>
              <w:t xml:space="preserve">:</w:t>
            </w:r>
          </w:p>
          <w:p>
            <w:pPr>
              <w:pStyle w:val="0"/>
              <w:ind w:firstLine="283"/>
              <w:jc w:val="both"/>
            </w:pPr>
            <w:r>
              <w:rPr>
                <w:sz w:val="20"/>
              </w:rPr>
              <w:t xml:space="preserve">информационные системы Рособрнадзора;</w:t>
            </w:r>
          </w:p>
          <w:p>
            <w:pPr>
              <w:pStyle w:val="0"/>
              <w:ind w:firstLine="283"/>
              <w:jc w:val="both"/>
            </w:pPr>
            <w:r>
              <w:rPr>
                <w:sz w:val="20"/>
              </w:rPr>
              <w:t xml:space="preserve">информация, размещенная на официальном сайте профессиональной организации в информационно-коммуникационной сети "Интернет" (далее - сеть "Интернет");</w:t>
            </w:r>
          </w:p>
          <w:p>
            <w:pPr>
              <w:pStyle w:val="0"/>
              <w:ind w:firstLine="283"/>
              <w:jc w:val="both"/>
            </w:pPr>
            <w:r>
              <w:rPr>
                <w:sz w:val="20"/>
              </w:rPr>
              <w:t xml:space="preserve">документы и сведения, представленные профессиональной организацией.</w:t>
            </w:r>
          </w:p>
        </w:tc>
      </w:tr>
      <w:tr>
        <w:tc>
          <w:tcPr>
            <w:tcW w:w="624" w:type="dxa"/>
          </w:tcPr>
          <w:p>
            <w:pPr>
              <w:pStyle w:val="0"/>
              <w:jc w:val="center"/>
            </w:pPr>
            <w:r>
              <w:rPr>
                <w:sz w:val="20"/>
              </w:rPr>
              <w:t xml:space="preserve">2.</w:t>
            </w:r>
          </w:p>
        </w:tc>
        <w:tc>
          <w:tcPr>
            <w:tcW w:w="3514" w:type="dxa"/>
          </w:tcPr>
          <w:p>
            <w:pPr>
              <w:pStyle w:val="0"/>
              <w:jc w:val="both"/>
            </w:pPr>
            <w:r>
              <w:rPr>
                <w:sz w:val="20"/>
              </w:rPr>
              <w:t xml:space="preserve">Наличие электронной информационно-образовательной среды - АП</w:t>
            </w:r>
            <w:r>
              <w:rPr>
                <w:sz w:val="20"/>
                <w:vertAlign w:val="subscript"/>
              </w:rPr>
              <w:t xml:space="preserve">2</w:t>
            </w:r>
          </w:p>
        </w:tc>
        <w:tc>
          <w:tcPr>
            <w:tcW w:w="4932" w:type="dxa"/>
          </w:tcPr>
          <w:p>
            <w:pPr>
              <w:pStyle w:val="0"/>
              <w:ind w:firstLine="283"/>
              <w:jc w:val="both"/>
            </w:pPr>
            <w:r>
              <w:rPr>
                <w:sz w:val="20"/>
              </w:rPr>
              <w:t xml:space="preserve">Значение показателя АП</w:t>
            </w:r>
            <w:r>
              <w:rPr>
                <w:sz w:val="20"/>
                <w:vertAlign w:val="subscript"/>
              </w:rPr>
              <w:t xml:space="preserve">2</w:t>
            </w:r>
            <w:r>
              <w:rPr>
                <w:sz w:val="20"/>
              </w:rPr>
              <w:t xml:space="preserve"> "имеется" устанавливается, если на официальном сайте профессиональной организации в сети "Интернет" представлены не менее четырех из следующих компонентов электронной информационно-образовательной среды:</w:t>
            </w:r>
          </w:p>
          <w:p>
            <w:pPr>
              <w:pStyle w:val="0"/>
              <w:ind w:firstLine="283"/>
              <w:jc w:val="both"/>
            </w:pPr>
            <w:r>
              <w:rPr>
                <w:sz w:val="20"/>
              </w:rPr>
              <w:t xml:space="preserve">1) информация, подтверждающая наличие доступа к сети "Интернет" в профессиональной организации;</w:t>
            </w:r>
          </w:p>
          <w:p>
            <w:pPr>
              <w:pStyle w:val="0"/>
              <w:ind w:firstLine="283"/>
              <w:jc w:val="both"/>
            </w:pPr>
            <w:r>
              <w:rPr>
                <w:sz w:val="20"/>
              </w:rPr>
              <w:t xml:space="preserve">2) локальный нормативный правовой акт об электронной информационно-образовательной среде;</w:t>
            </w:r>
          </w:p>
          <w:p>
            <w:pPr>
              <w:pStyle w:val="0"/>
              <w:ind w:firstLine="283"/>
              <w:jc w:val="both"/>
            </w:pPr>
            <w:r>
              <w:rPr>
                <w:sz w:val="20"/>
              </w:rPr>
              <w:t xml:space="preserve">3) наличие доступа к цифровой (электронной) библиотеке;</w:t>
            </w:r>
          </w:p>
          <w:p>
            <w:pPr>
              <w:pStyle w:val="0"/>
              <w:ind w:firstLine="283"/>
              <w:jc w:val="both"/>
            </w:pPr>
            <w:r>
              <w:rPr>
                <w:sz w:val="20"/>
              </w:rPr>
              <w:t xml:space="preserve">4) наличие доступа к электронным образовательным ресурсам и (или) профессиональным базам данных (подборкам информационных ресурсов по тематикам в соответствии с содержанием реализуемой образовательной программы);</w:t>
            </w:r>
          </w:p>
          <w:p>
            <w:pPr>
              <w:pStyle w:val="0"/>
              <w:ind w:firstLine="283"/>
              <w:jc w:val="both"/>
            </w:pPr>
            <w:r>
              <w:rPr>
                <w:sz w:val="20"/>
              </w:rPr>
              <w:t xml:space="preserve">5) наличие доступа к электронной системе учета обучающихся, учета и хранения их образовательных результатов (электронный журнал);</w:t>
            </w:r>
          </w:p>
          <w:p>
            <w:pPr>
              <w:pStyle w:val="0"/>
              <w:ind w:firstLine="283"/>
              <w:jc w:val="both"/>
            </w:pPr>
            <w:r>
              <w:rPr>
                <w:sz w:val="20"/>
              </w:rPr>
              <w:t xml:space="preserve">6) наличие возможности взаимодействия педагогических работников с обучающимися (личные кабинеты обучающихся и преподавателей) в электронной информационно-образовательной среде;</w:t>
            </w:r>
          </w:p>
          <w:p>
            <w:pPr>
              <w:pStyle w:val="0"/>
              <w:ind w:firstLine="283"/>
              <w:jc w:val="both"/>
            </w:pPr>
            <w:r>
              <w:rPr>
                <w:sz w:val="20"/>
              </w:rPr>
              <w:t xml:space="preserve">7) наличие доступа к электронному расписанию (сервис, с помощью которого каждый обучающийся может узнать свое актуальное расписание занятий и сессии);</w:t>
            </w:r>
          </w:p>
          <w:p>
            <w:pPr>
              <w:pStyle w:val="0"/>
              <w:ind w:firstLine="283"/>
              <w:jc w:val="both"/>
            </w:pPr>
            <w:r>
              <w:rPr>
                <w:sz w:val="20"/>
              </w:rPr>
              <w:t xml:space="preserve">8) личный кабинет в федеральной государственной информационной системе "Моя школа" </w:t>
            </w:r>
            <w:hyperlink w:history="0" w:anchor="P175" w:tooltip="&lt;1&gt; Постановление Правительства Российской Федерации от 13 июля 2022 г. N 1241 &quot;О федеральной государственной информационной системе &quot;Моя школа&quot; и внесении изменения в подпункт &quot;а&quot; пункта 2 Положения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quot;.">
              <w:r>
                <w:rPr>
                  <w:sz w:val="20"/>
                  <w:color w:val="0000ff"/>
                </w:rPr>
                <w:t xml:space="preserve">&lt;1&gt;</w:t>
              </w:r>
            </w:hyperlink>
            <w:r>
              <w:rPr>
                <w:sz w:val="20"/>
              </w:rPr>
              <w:t xml:space="preserve"> (далее - ФГИС "Моя школа").</w:t>
            </w:r>
          </w:p>
          <w:p>
            <w:pPr>
              <w:pStyle w:val="0"/>
              <w:ind w:firstLine="283"/>
              <w:jc w:val="both"/>
            </w:pPr>
            <w:r>
              <w:rPr>
                <w:sz w:val="20"/>
              </w:rPr>
              <w:t xml:space="preserve">Информация о наличии доступа к сети "Интернет" подтверждается соответствующим договором.</w:t>
            </w:r>
          </w:p>
          <w:p>
            <w:pPr>
              <w:pStyle w:val="0"/>
              <w:ind w:firstLine="283"/>
              <w:jc w:val="both"/>
            </w:pPr>
            <w:r>
              <w:rPr>
                <w:sz w:val="20"/>
              </w:rPr>
              <w:t xml:space="preserve">Доступ к вышеуказанным элементам электронной информационно-образовательной среды подтверждается ссылками на соответствующие разделы официального сайта профессиональной организации в сети "Интернет".</w:t>
            </w:r>
          </w:p>
          <w:p>
            <w:pPr>
              <w:pStyle w:val="0"/>
              <w:ind w:firstLine="283"/>
              <w:jc w:val="both"/>
            </w:pPr>
            <w:r>
              <w:rPr>
                <w:sz w:val="20"/>
              </w:rPr>
              <w:t xml:space="preserve">Полученное при расчете показателя АП</w:t>
            </w:r>
            <w:r>
              <w:rPr>
                <w:sz w:val="20"/>
                <w:vertAlign w:val="subscript"/>
              </w:rPr>
              <w:t xml:space="preserve">2</w:t>
            </w:r>
            <w:r>
              <w:rPr>
                <w:sz w:val="20"/>
              </w:rPr>
              <w:t xml:space="preserve"> значение сопоставляется с критериальным значением и устанавливается количество баллов по данному показателю.</w:t>
            </w:r>
          </w:p>
          <w:p>
            <w:pPr>
              <w:pStyle w:val="0"/>
              <w:ind w:firstLine="283"/>
              <w:jc w:val="both"/>
            </w:pPr>
            <w:r>
              <w:rPr>
                <w:sz w:val="20"/>
              </w:rPr>
              <w:t xml:space="preserve">Отчетный период:</w:t>
            </w:r>
          </w:p>
          <w:p>
            <w:pPr>
              <w:pStyle w:val="0"/>
              <w:ind w:firstLine="283"/>
              <w:jc w:val="both"/>
            </w:pPr>
            <w:r>
              <w:rPr>
                <w:sz w:val="20"/>
              </w:rPr>
              <w:t xml:space="preserve">предоставляется актуальная информация.</w:t>
            </w:r>
          </w:p>
          <w:p>
            <w:pPr>
              <w:pStyle w:val="0"/>
              <w:ind w:firstLine="283"/>
              <w:jc w:val="both"/>
            </w:pPr>
            <w:r>
              <w:rPr>
                <w:sz w:val="20"/>
              </w:rPr>
              <w:t xml:space="preserve">Источники данных, необходимых для расчета показателя АП</w:t>
            </w:r>
            <w:r>
              <w:rPr>
                <w:sz w:val="20"/>
                <w:vertAlign w:val="subscript"/>
              </w:rPr>
              <w:t xml:space="preserve">2</w:t>
            </w:r>
            <w:r>
              <w:rPr>
                <w:sz w:val="20"/>
              </w:rPr>
              <w:t xml:space="preserve">:</w:t>
            </w:r>
          </w:p>
          <w:p>
            <w:pPr>
              <w:pStyle w:val="0"/>
              <w:ind w:firstLine="283"/>
              <w:jc w:val="both"/>
            </w:pPr>
            <w:r>
              <w:rPr>
                <w:sz w:val="20"/>
              </w:rPr>
              <w:t xml:space="preserve">документы и сведения, представленные профессиональной организацией;</w:t>
            </w:r>
          </w:p>
          <w:p>
            <w:pPr>
              <w:pStyle w:val="0"/>
              <w:ind w:firstLine="283"/>
              <w:jc w:val="both"/>
            </w:pPr>
            <w:r>
              <w:rPr>
                <w:sz w:val="20"/>
              </w:rPr>
              <w:t xml:space="preserve">информация, размещенная на официальном сайте профессиональной организации в сети "Интернет";</w:t>
            </w:r>
          </w:p>
          <w:p>
            <w:pPr>
              <w:pStyle w:val="0"/>
              <w:ind w:firstLine="283"/>
              <w:jc w:val="both"/>
            </w:pPr>
            <w:r>
              <w:rPr>
                <w:sz w:val="20"/>
              </w:rPr>
              <w:t xml:space="preserve">ФГИС "Моя школа".</w:t>
            </w:r>
          </w:p>
        </w:tc>
      </w:tr>
      <w:tr>
        <w:tc>
          <w:tcPr>
            <w:tcW w:w="624" w:type="dxa"/>
            <w:tcBorders>
              <w:bottom w:val="nil"/>
            </w:tcBorders>
            <w:vMerge w:val="restart"/>
          </w:tcPr>
          <w:p>
            <w:pPr>
              <w:pStyle w:val="0"/>
              <w:jc w:val="center"/>
            </w:pPr>
            <w:r>
              <w:rPr>
                <w:sz w:val="20"/>
              </w:rPr>
              <w:t xml:space="preserve">3.</w:t>
            </w:r>
          </w:p>
        </w:tc>
        <w:tc>
          <w:tcPr>
            <w:tcW w:w="3514" w:type="dxa"/>
            <w:tcBorders>
              <w:bottom w:val="nil"/>
            </w:tcBorders>
            <w:vMerge w:val="restart"/>
          </w:tcPr>
          <w:p>
            <w:pPr>
              <w:pStyle w:val="0"/>
              <w:jc w:val="both"/>
            </w:pPr>
            <w:r>
              <w:rPr>
                <w:sz w:val="20"/>
              </w:rPr>
              <w:t xml:space="preserve">Доля обучающихся, выполнивших 70% и более заданий диагностической работы в ходе оценивания достижения обучающимися результатов обучения по соответствующей образовательной программе среднего профессионального образования, в общем количестве обучающихся, выполнявших диагностическую работу, - АП</w:t>
            </w:r>
            <w:r>
              <w:rPr>
                <w:sz w:val="20"/>
                <w:vertAlign w:val="subscript"/>
              </w:rPr>
              <w:t xml:space="preserve">3</w:t>
            </w:r>
          </w:p>
        </w:tc>
        <w:tc>
          <w:tcPr>
            <w:tcW w:w="4932" w:type="dxa"/>
            <w:tcBorders>
              <w:bottom w:val="nil"/>
            </w:tcBorders>
          </w:tcPr>
          <w:p>
            <w:pPr>
              <w:pStyle w:val="0"/>
              <w:ind w:firstLine="283"/>
              <w:jc w:val="both"/>
            </w:pPr>
            <w:r>
              <w:rPr>
                <w:sz w:val="20"/>
              </w:rPr>
              <w:t xml:space="preserve">Показатель АП</w:t>
            </w:r>
            <w:r>
              <w:rPr>
                <w:sz w:val="20"/>
                <w:vertAlign w:val="subscript"/>
              </w:rPr>
              <w:t xml:space="preserve">3</w:t>
            </w:r>
            <w:r>
              <w:rPr>
                <w:sz w:val="20"/>
              </w:rPr>
              <w:t xml:space="preserve"> рассчитывается как отношение количества обучающихся, выполнивших 70% и более заданий диагностической работы, к общему количеству обучающихся, выполнявших диагностическую работу, умноженное на 100%.</w:t>
            </w:r>
          </w:p>
          <w:p>
            <w:pPr>
              <w:pStyle w:val="0"/>
              <w:ind w:firstLine="283"/>
              <w:jc w:val="both"/>
            </w:pPr>
            <w:r>
              <w:rPr>
                <w:sz w:val="20"/>
              </w:rPr>
              <w:t xml:space="preserve">Показатель рассчитывается по формуле:</w:t>
            </w:r>
          </w:p>
        </w:tc>
      </w:tr>
      <w:tr>
        <w:tblPrEx>
          <w:tblBorders>
            <w:insideH w:val="nil"/>
          </w:tblBorders>
        </w:tblPrEx>
        <w:tc>
          <w:tcPr>
            <w:tcBorders>
              <w:bottom w:val="nil"/>
            </w:tcBorders>
            <w:vMerge w:val="continue"/>
          </w:tcPr>
          <w:p/>
        </w:tc>
        <w:tc>
          <w:tcPr>
            <w:tcBorders>
              <w:bottom w:val="nil"/>
            </w:tcBorders>
            <w:vMerge w:val="continue"/>
          </w:tcPr>
          <w:p/>
        </w:tc>
        <w:tc>
          <w:tcPr>
            <w:tcW w:w="4932" w:type="dxa"/>
            <w:tcBorders>
              <w:top w:val="nil"/>
              <w:bottom w:val="nil"/>
            </w:tcBorders>
          </w:tcPr>
          <w:p>
            <w:pPr>
              <w:pStyle w:val="0"/>
              <w:jc w:val="center"/>
            </w:pPr>
            <w:r>
              <w:rPr>
                <w:position w:val="-23"/>
              </w:rPr>
              <w:drawing>
                <wp:inline distT="0" distB="0" distL="0" distR="0">
                  <wp:extent cx="981075"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981075" cy="428625"/>
                          </a:xfrm>
                          <a:prstGeom prst="rect">
                            <a:avLst/>
                          </a:prstGeom>
                          <a:noFill/>
                          <a:ln>
                            <a:noFill/>
                          </a:ln>
                        </pic:spPr>
                      </pic:pic>
                    </a:graphicData>
                  </a:graphic>
                </wp:inline>
              </w:drawing>
            </w:r>
            <w:r>
              <w:rPr>
                <w:sz w:val="20"/>
              </w:rPr>
              <w:t xml:space="preserve">,</w:t>
            </w:r>
          </w:p>
        </w:tc>
      </w:tr>
      <w:tr>
        <w:tblPrEx>
          <w:tblBorders>
            <w:insideH w:val="nil"/>
          </w:tblBorders>
        </w:tblPrEx>
        <w:tc>
          <w:tcPr>
            <w:tcBorders>
              <w:bottom w:val="nil"/>
            </w:tcBorders>
            <w:vMerge w:val="continue"/>
          </w:tcPr>
          <w:p/>
        </w:tc>
        <w:tc>
          <w:tcPr>
            <w:tcBorders>
              <w:bottom w:val="nil"/>
            </w:tcBorders>
            <w:vMerge w:val="continue"/>
          </w:tcPr>
          <w:p/>
        </w:tc>
        <w:tc>
          <w:tcPr>
            <w:tcW w:w="4932" w:type="dxa"/>
            <w:tcBorders>
              <w:top w:val="nil"/>
              <w:bottom w:val="nil"/>
            </w:tcBorders>
          </w:tcPr>
          <w:p>
            <w:pPr>
              <w:pStyle w:val="0"/>
              <w:ind w:firstLine="283"/>
              <w:jc w:val="both"/>
            </w:pPr>
            <w:r>
              <w:rPr>
                <w:sz w:val="20"/>
              </w:rPr>
              <w:t xml:space="preserve">где:</w:t>
            </w:r>
          </w:p>
          <w:p>
            <w:pPr>
              <w:pStyle w:val="0"/>
              <w:ind w:firstLine="283"/>
              <w:jc w:val="both"/>
            </w:pPr>
            <w:r>
              <w:rPr>
                <w:sz w:val="20"/>
              </w:rPr>
              <w:t xml:space="preserve">a</w:t>
            </w:r>
            <w:r>
              <w:rPr>
                <w:sz w:val="20"/>
                <w:vertAlign w:val="subscript"/>
              </w:rPr>
              <w:t xml:space="preserve">3</w:t>
            </w:r>
            <w:r>
              <w:rPr>
                <w:sz w:val="20"/>
              </w:rPr>
              <w:t xml:space="preserve"> - количество обучающихся, выполнивших 70% и более заданий диагностической работы;</w:t>
            </w:r>
          </w:p>
          <w:p>
            <w:pPr>
              <w:pStyle w:val="0"/>
              <w:ind w:firstLine="283"/>
              <w:jc w:val="both"/>
            </w:pPr>
            <w:r>
              <w:rPr>
                <w:sz w:val="20"/>
              </w:rPr>
              <w:t xml:space="preserve">b</w:t>
            </w:r>
            <w:r>
              <w:rPr>
                <w:sz w:val="20"/>
                <w:vertAlign w:val="subscript"/>
              </w:rPr>
              <w:t xml:space="preserve">3</w:t>
            </w:r>
            <w:r>
              <w:rPr>
                <w:sz w:val="20"/>
              </w:rPr>
              <w:t xml:space="preserve"> - общее количество обучающихся, выполнявших диагностическую работу.</w:t>
            </w:r>
          </w:p>
          <w:p>
            <w:pPr>
              <w:pStyle w:val="0"/>
              <w:ind w:firstLine="283"/>
              <w:jc w:val="both"/>
            </w:pPr>
            <w:r>
              <w:rPr>
                <w:sz w:val="20"/>
              </w:rPr>
              <w:t xml:space="preserve">Полученное при расчете дробное значение показателя АП</w:t>
            </w:r>
            <w:r>
              <w:rPr>
                <w:sz w:val="20"/>
                <w:vertAlign w:val="subscript"/>
              </w:rPr>
              <w:t xml:space="preserve">3</w:t>
            </w:r>
            <w:r>
              <w:rPr>
                <w:sz w:val="20"/>
              </w:rPr>
              <w:t xml:space="preserve"> округляется до целого числа.</w:t>
            </w:r>
          </w:p>
          <w:p>
            <w:pPr>
              <w:pStyle w:val="0"/>
              <w:ind w:firstLine="283"/>
              <w:jc w:val="both"/>
            </w:pPr>
            <w:r>
              <w:rPr>
                <w:sz w:val="20"/>
              </w:rPr>
              <w:t xml:space="preserve">Установленное при расчете показателя АП</w:t>
            </w:r>
            <w:r>
              <w:rPr>
                <w:sz w:val="20"/>
                <w:vertAlign w:val="subscript"/>
              </w:rPr>
              <w:t xml:space="preserve">3</w:t>
            </w:r>
            <w:r>
              <w:rPr>
                <w:sz w:val="20"/>
              </w:rPr>
              <w:t xml:space="preserve"> значение сопоставляется с критериальным значением и определяется количество баллов по данному показателю.</w:t>
            </w:r>
          </w:p>
          <w:p>
            <w:pPr>
              <w:pStyle w:val="0"/>
              <w:ind w:firstLine="283"/>
              <w:jc w:val="both"/>
            </w:pPr>
            <w:r>
              <w:rPr>
                <w:sz w:val="20"/>
              </w:rPr>
              <w:t xml:space="preserve">Диагностическая работа, целью которой является определение уровня достижения результатов обучения и (или) освоения образовательной программы, установленных образовательной программой по соответствующей специальности (профессии), формируется из фонда оценочных средств образовательной организации и (или) оценочных средств, формируемых с использованием федеральной информационной системы оценки качества образования.</w:t>
            </w:r>
          </w:p>
          <w:p>
            <w:pPr>
              <w:pStyle w:val="0"/>
              <w:ind w:firstLine="283"/>
              <w:jc w:val="both"/>
            </w:pPr>
            <w:r>
              <w:rPr>
                <w:sz w:val="20"/>
              </w:rPr>
              <w:t xml:space="preserve">В случае формирования заданий диагностической работы на основе оценочных средств образовательной организации указанные материалы направляются должностному лицу федерального органа исполнительной власти, осуществляющего функции по контролю и надзору в сфере образования, или должностному лицу органа исполнительной власти субъекта Российской Федерации, осуществляющего переданные Российской Федерацией полномочия в сфере образования, и (или) экспертам в электронном виде, доступном для редактирования, с предоставлением "ключей" к заданиям.</w:t>
            </w:r>
          </w:p>
          <w:p>
            <w:pPr>
              <w:pStyle w:val="0"/>
              <w:ind w:firstLine="283"/>
              <w:jc w:val="both"/>
            </w:pPr>
            <w:r>
              <w:rPr>
                <w:sz w:val="20"/>
              </w:rPr>
              <w:t xml:space="preserve">Оценочные материалы для проведения диагностической работы должны соответствовать результатам освоения образовательной программы.</w:t>
            </w:r>
          </w:p>
          <w:p>
            <w:pPr>
              <w:pStyle w:val="0"/>
              <w:ind w:firstLine="283"/>
              <w:jc w:val="both"/>
            </w:pPr>
            <w:r>
              <w:rPr>
                <w:sz w:val="20"/>
              </w:rPr>
              <w:t xml:space="preserve">Объем заданий, включенных в состав каждого варианта диагностической работы, устанавливается исходя из их предельного расчетного времени выполнения диагностической работы не более двух академических часов.</w:t>
            </w:r>
          </w:p>
          <w:p>
            <w:pPr>
              <w:pStyle w:val="0"/>
              <w:ind w:firstLine="283"/>
              <w:jc w:val="both"/>
            </w:pPr>
            <w:r>
              <w:rPr>
                <w:sz w:val="20"/>
              </w:rPr>
              <w:t xml:space="preserve">Количество и состав заданий из фонда оценочных средств организации должны позволять эксперту сформировать не менее двух вариантов заданий для проведения диагностической работы. Задания должны предоставлять возможность для оценивания сформированных экспертом индикаторов достижения компетенций в виде действий и (или) знаний, умений, навыков.</w:t>
            </w:r>
          </w:p>
          <w:p>
            <w:pPr>
              <w:pStyle w:val="0"/>
              <w:ind w:firstLine="283"/>
              <w:jc w:val="both"/>
            </w:pPr>
            <w:r>
              <w:rPr>
                <w:sz w:val="20"/>
              </w:rPr>
              <w:t xml:space="preserve">Каждый вариант диагностической работы должен содержать не менее двадцати заданий разного типа и уровня сложности, обеспечивающих оценку по обоснованным выбранным должностным лицом федерального органа исполнительной власти, осуществляющего функции по контролю и надзору в сфере образования, или должностным лицом органа исполнительной власти субъекта Российской Федерации, осуществляющего переданные Российской Федерацией полномочия в сфере образования, и (или) экспертом общим, и (или) профессиональным компетенциям, количество которых в совокупности составляет до пяти компетенций.</w:t>
            </w:r>
          </w:p>
          <w:p>
            <w:pPr>
              <w:pStyle w:val="0"/>
              <w:ind w:firstLine="283"/>
              <w:jc w:val="both"/>
            </w:pPr>
            <w:r>
              <w:rPr>
                <w:sz w:val="20"/>
              </w:rPr>
              <w:t xml:space="preserve">Диагностическая работа проводится в отношении старшего курса из реализуемых форм обучения. В случае реализации программ среднего профессионального образования на базе основного общего образования допускается проведение диагностической работы по оценке освоения предметов (дисциплин) среднего общего образования при условии, когда освоенный объем учебного материала не позволяет проведение диагностической работы по общим и (или) профессиональным компетенциям.</w:t>
            </w:r>
          </w:p>
        </w:tc>
      </w:tr>
      <w:tr>
        <w:tblPrEx>
          <w:tblBorders>
            <w:insideH w:val="nil"/>
          </w:tblBorders>
        </w:tblPrEx>
        <w:tc>
          <w:tcPr>
            <w:tcW w:w="624" w:type="dxa"/>
            <w:tcBorders>
              <w:top w:val="nil"/>
            </w:tcBorders>
          </w:tcPr>
          <w:p>
            <w:pPr>
              <w:pStyle w:val="0"/>
            </w:pPr>
            <w:r>
              <w:rPr>
                <w:sz w:val="20"/>
              </w:rPr>
            </w:r>
          </w:p>
        </w:tc>
        <w:tc>
          <w:tcPr>
            <w:tcW w:w="3514" w:type="dxa"/>
            <w:tcBorders>
              <w:top w:val="nil"/>
            </w:tcBorders>
          </w:tcPr>
          <w:p>
            <w:pPr>
              <w:pStyle w:val="0"/>
            </w:pPr>
            <w:r>
              <w:rPr>
                <w:sz w:val="20"/>
              </w:rPr>
            </w:r>
          </w:p>
        </w:tc>
        <w:tc>
          <w:tcPr>
            <w:tcW w:w="4932" w:type="dxa"/>
            <w:tcBorders>
              <w:top w:val="nil"/>
            </w:tcBorders>
          </w:tcPr>
          <w:p>
            <w:pPr>
              <w:pStyle w:val="0"/>
              <w:ind w:firstLine="283"/>
              <w:jc w:val="both"/>
            </w:pPr>
            <w:r>
              <w:rPr>
                <w:sz w:val="20"/>
              </w:rPr>
              <w:t xml:space="preserve">В случае проведения диагностической работы по образовательным программам, реализуемым на базе основного общего и среднего общего образования, диагностическая работа проводится в отношении старшего курса каждой из них.</w:t>
            </w:r>
          </w:p>
          <w:p>
            <w:pPr>
              <w:pStyle w:val="0"/>
              <w:ind w:firstLine="283"/>
              <w:jc w:val="both"/>
            </w:pPr>
            <w:r>
              <w:rPr>
                <w:sz w:val="20"/>
              </w:rPr>
              <w:t xml:space="preserve">Продолжительность выполнения обучающимися диагностической работы не может превышать двух академических часов. В случае участия в выполнении заданий диагностической работы обучающихся с ограниченными возможностями здоровья (далее - ОВЗ) продолжительность выполнения диагностической работы такими обучающимися может быть увеличена не более чем на один академический час.</w:t>
            </w:r>
          </w:p>
          <w:p>
            <w:pPr>
              <w:pStyle w:val="0"/>
              <w:ind w:firstLine="283"/>
              <w:jc w:val="both"/>
            </w:pPr>
            <w:r>
              <w:rPr>
                <w:sz w:val="20"/>
              </w:rPr>
              <w:t xml:space="preserve">Численность обучающихся, участвующих в выполнении диагностической работы, должна составлять не менее 70% обучающихся от списочного состава академических групп, участвующих в диагностической работе.</w:t>
            </w:r>
          </w:p>
          <w:p>
            <w:pPr>
              <w:pStyle w:val="0"/>
              <w:ind w:firstLine="283"/>
              <w:jc w:val="both"/>
            </w:pPr>
            <w:r>
              <w:rPr>
                <w:sz w:val="20"/>
              </w:rPr>
              <w:t xml:space="preserve">В случае проведения диагностической работы с выездом в профессиональную организацию диагностическая работа проводится в присутствии должностного лица федерального органа исполнительной власти, осуществляющего функции по контролю и надзору в сфере образования, или должностного лица органа исполнительной власти субъекта Российской Федерации, осуществляющего переданные Российской Федерацией полномочия в сфере образования, и (или) экспертов.</w:t>
            </w:r>
          </w:p>
          <w:p>
            <w:pPr>
              <w:pStyle w:val="0"/>
              <w:ind w:firstLine="283"/>
              <w:jc w:val="both"/>
            </w:pPr>
            <w:r>
              <w:rPr>
                <w:sz w:val="20"/>
              </w:rPr>
              <w:t xml:space="preserve">Допуск обучающихся, участвующих в выполнении диагностической работы, в аудиторию осуществляется в соответствии с документом, удостоверяющим личность обучающегося.</w:t>
            </w:r>
          </w:p>
          <w:p>
            <w:pPr>
              <w:pStyle w:val="0"/>
              <w:ind w:firstLine="283"/>
              <w:jc w:val="both"/>
            </w:pPr>
            <w:r>
              <w:rPr>
                <w:sz w:val="20"/>
              </w:rPr>
              <w:t xml:space="preserve">Обучающиеся с ОВЗ, участвующие в выполнении диагностической работы, наравне с документом, удостоверяющим личность, предъявляют оригиналы или заверенные копии подтверждающих медицинских документов.</w:t>
            </w:r>
          </w:p>
          <w:p>
            <w:pPr>
              <w:pStyle w:val="0"/>
              <w:ind w:firstLine="283"/>
              <w:jc w:val="both"/>
            </w:pPr>
            <w:r>
              <w:rPr>
                <w:sz w:val="20"/>
              </w:rPr>
              <w:t xml:space="preserve">Диагностическая работа может проводиться с применением дистанционных образовательных технологий.</w:t>
            </w:r>
          </w:p>
          <w:p>
            <w:pPr>
              <w:pStyle w:val="0"/>
              <w:ind w:firstLine="283"/>
              <w:jc w:val="both"/>
            </w:pPr>
            <w:r>
              <w:rPr>
                <w:sz w:val="20"/>
              </w:rPr>
              <w:t xml:space="preserve">При проведении диагностической работы профессиональная организация обеспечивает осуществление ее видеозаписи. После завершения диагностической работы указанная видеозапись передается должностному лицу федерального органа исполнительной власти, осуществляющего функции по контролю и надзору в сфере образования, или должностному лицу органа исполнительной власти субъекта Российской Федерации, осуществляющего переданные Российской Федерацией полномочия в сфере образования, и (или) экспертам не позднее дня завершения диагностической работы.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обеспечивается хранение видеозаписи в течение календарного года с даты проведения диагностической работы.</w:t>
            </w:r>
          </w:p>
          <w:p>
            <w:pPr>
              <w:pStyle w:val="0"/>
              <w:ind w:firstLine="283"/>
              <w:jc w:val="both"/>
            </w:pPr>
            <w:r>
              <w:rPr>
                <w:sz w:val="20"/>
              </w:rPr>
              <w:t xml:space="preserve">Отчетный период:</w:t>
            </w:r>
          </w:p>
          <w:p>
            <w:pPr>
              <w:pStyle w:val="0"/>
              <w:ind w:firstLine="283"/>
              <w:jc w:val="both"/>
            </w:pPr>
            <w:r>
              <w:rPr>
                <w:sz w:val="20"/>
              </w:rPr>
              <w:t xml:space="preserve">предоставляется актуальная информация.</w:t>
            </w:r>
          </w:p>
          <w:p>
            <w:pPr>
              <w:pStyle w:val="0"/>
              <w:ind w:firstLine="283"/>
              <w:jc w:val="both"/>
            </w:pPr>
            <w:r>
              <w:rPr>
                <w:sz w:val="20"/>
              </w:rPr>
              <w:t xml:space="preserve">Источники данных, необходимых для расчета показателя АП</w:t>
            </w:r>
            <w:r>
              <w:rPr>
                <w:sz w:val="20"/>
                <w:vertAlign w:val="subscript"/>
              </w:rPr>
              <w:t xml:space="preserve">3</w:t>
            </w:r>
            <w:r>
              <w:rPr>
                <w:sz w:val="20"/>
              </w:rPr>
              <w:t xml:space="preserve">:</w:t>
            </w:r>
          </w:p>
          <w:p>
            <w:pPr>
              <w:pStyle w:val="0"/>
              <w:ind w:firstLine="283"/>
              <w:jc w:val="both"/>
            </w:pPr>
            <w:r>
              <w:rPr>
                <w:sz w:val="20"/>
              </w:rPr>
              <w:t xml:space="preserve">результаты диагностической работы.</w:t>
            </w:r>
          </w:p>
        </w:tc>
      </w:tr>
      <w:tr>
        <w:tc>
          <w:tcPr>
            <w:tcW w:w="624" w:type="dxa"/>
          </w:tcPr>
          <w:p>
            <w:pPr>
              <w:pStyle w:val="0"/>
              <w:jc w:val="center"/>
            </w:pPr>
            <w:r>
              <w:rPr>
                <w:sz w:val="20"/>
              </w:rPr>
              <w:t xml:space="preserve">4.</w:t>
            </w:r>
          </w:p>
        </w:tc>
        <w:tc>
          <w:tcPr>
            <w:tcW w:w="3514" w:type="dxa"/>
          </w:tcPr>
          <w:p>
            <w:pPr>
              <w:pStyle w:val="0"/>
              <w:jc w:val="both"/>
            </w:pPr>
            <w:r>
              <w:rPr>
                <w:sz w:val="20"/>
              </w:rPr>
              <w:t xml:space="preserve">Наличие внутренней системы оценки качества образования - АП</w:t>
            </w:r>
            <w:r>
              <w:rPr>
                <w:sz w:val="20"/>
                <w:vertAlign w:val="subscript"/>
              </w:rPr>
              <w:t xml:space="preserve">4</w:t>
            </w:r>
          </w:p>
        </w:tc>
        <w:tc>
          <w:tcPr>
            <w:tcW w:w="4932" w:type="dxa"/>
            <w:vAlign w:val="bottom"/>
          </w:tcPr>
          <w:p>
            <w:pPr>
              <w:pStyle w:val="0"/>
              <w:ind w:firstLine="283"/>
              <w:jc w:val="both"/>
            </w:pPr>
            <w:r>
              <w:rPr>
                <w:sz w:val="20"/>
              </w:rPr>
              <w:t xml:space="preserve">Значение показателя АП</w:t>
            </w:r>
            <w:r>
              <w:rPr>
                <w:sz w:val="20"/>
                <w:vertAlign w:val="subscript"/>
              </w:rPr>
              <w:t xml:space="preserve">4</w:t>
            </w:r>
            <w:r>
              <w:rPr>
                <w:sz w:val="20"/>
              </w:rPr>
              <w:t xml:space="preserve"> "имеется" устанавливается, если на официальном сайте профессиональной организации в сети "Интернет" представлены:</w:t>
            </w:r>
          </w:p>
          <w:p>
            <w:pPr>
              <w:pStyle w:val="0"/>
              <w:ind w:firstLine="283"/>
              <w:jc w:val="both"/>
            </w:pPr>
            <w:r>
              <w:rPr>
                <w:sz w:val="20"/>
              </w:rPr>
              <w:t xml:space="preserve">1) локальный нормативный правовой акт о внутренней системе оценки качества образовательной деятельности в профессиональной организации;</w:t>
            </w:r>
          </w:p>
          <w:p>
            <w:pPr>
              <w:pStyle w:val="0"/>
              <w:ind w:firstLine="283"/>
              <w:jc w:val="both"/>
            </w:pPr>
            <w:r>
              <w:rPr>
                <w:sz w:val="20"/>
              </w:rPr>
              <w:t xml:space="preserve">2) отчет о самообследовании профессиональной образовательной организации, содержащий информацию:</w:t>
            </w:r>
          </w:p>
          <w:p>
            <w:pPr>
              <w:pStyle w:val="0"/>
              <w:ind w:firstLine="283"/>
              <w:jc w:val="both"/>
            </w:pPr>
            <w:r>
              <w:rPr>
                <w:sz w:val="20"/>
              </w:rPr>
              <w:t xml:space="preserve">о результатах опросов работодателей и (или) их объединений об удовлетворенности качеством образования по образовательной программе;</w:t>
            </w:r>
          </w:p>
          <w:p>
            <w:pPr>
              <w:pStyle w:val="0"/>
              <w:ind w:firstLine="283"/>
              <w:jc w:val="both"/>
            </w:pPr>
            <w:r>
              <w:rPr>
                <w:sz w:val="20"/>
              </w:rPr>
              <w:t xml:space="preserve">о результатах опросов педагогических работников профессиональной организации среднего профессионального образования об удовлетворенности условиями и организацией образовательной деятельности в рамках реализации образовательной программы;</w:t>
            </w:r>
          </w:p>
          <w:p>
            <w:pPr>
              <w:pStyle w:val="0"/>
              <w:ind w:firstLine="283"/>
              <w:jc w:val="both"/>
            </w:pPr>
            <w:r>
              <w:rPr>
                <w:sz w:val="20"/>
              </w:rPr>
              <w:t xml:space="preserve">о результатах опросов обучающихся профессиональной организации среднего профессионального образования об удовлетворенности условиями, содержанием, организацией и качеством образовательного процесса в целом и отдельных дисциплин (модулей) и практик в рамках реализации образовательной программы.</w:t>
            </w:r>
          </w:p>
          <w:p>
            <w:pPr>
              <w:pStyle w:val="0"/>
              <w:ind w:firstLine="283"/>
              <w:jc w:val="both"/>
            </w:pPr>
            <w:r>
              <w:rPr>
                <w:sz w:val="20"/>
              </w:rPr>
              <w:t xml:space="preserve">Наличие вышеуказанных элементов внутренней системы оценки качества образования подтверждается ссылками на соответствующие разделы официального сайта профессиональной организации в сети "Интернет".</w:t>
            </w:r>
          </w:p>
          <w:p>
            <w:pPr>
              <w:pStyle w:val="0"/>
              <w:ind w:firstLine="283"/>
              <w:jc w:val="both"/>
            </w:pPr>
            <w:r>
              <w:rPr>
                <w:sz w:val="20"/>
              </w:rPr>
              <w:t xml:space="preserve">Полученное при расчете показателя АП</w:t>
            </w:r>
            <w:r>
              <w:rPr>
                <w:sz w:val="20"/>
                <w:vertAlign w:val="subscript"/>
              </w:rPr>
              <w:t xml:space="preserve">4</w:t>
            </w:r>
            <w:r>
              <w:rPr>
                <w:sz w:val="20"/>
              </w:rPr>
              <w:t xml:space="preserve"> значение сопоставляется с критериальным значением и устанавливается количество баллов по данному показателю.</w:t>
            </w:r>
          </w:p>
          <w:p>
            <w:pPr>
              <w:pStyle w:val="0"/>
              <w:ind w:firstLine="283"/>
              <w:jc w:val="both"/>
            </w:pPr>
            <w:r>
              <w:rPr>
                <w:sz w:val="20"/>
              </w:rPr>
              <w:t xml:space="preserve">Отчетный период:</w:t>
            </w:r>
          </w:p>
          <w:p>
            <w:pPr>
              <w:pStyle w:val="0"/>
              <w:ind w:firstLine="283"/>
              <w:jc w:val="both"/>
            </w:pPr>
            <w:r>
              <w:rPr>
                <w:sz w:val="20"/>
              </w:rPr>
              <w:t xml:space="preserve">информация по показателю предоставляется за период реализации образовательной программы.</w:t>
            </w:r>
          </w:p>
          <w:p>
            <w:pPr>
              <w:pStyle w:val="0"/>
              <w:ind w:firstLine="283"/>
              <w:jc w:val="both"/>
            </w:pPr>
            <w:r>
              <w:rPr>
                <w:sz w:val="20"/>
              </w:rPr>
              <w:t xml:space="preserve">Источники данных, необходимых для расчета показателя АП</w:t>
            </w:r>
            <w:r>
              <w:rPr>
                <w:sz w:val="20"/>
                <w:vertAlign w:val="subscript"/>
              </w:rPr>
              <w:t xml:space="preserve">4</w:t>
            </w:r>
            <w:r>
              <w:rPr>
                <w:sz w:val="20"/>
              </w:rPr>
              <w:t xml:space="preserve">:</w:t>
            </w:r>
          </w:p>
          <w:p>
            <w:pPr>
              <w:pStyle w:val="0"/>
              <w:ind w:firstLine="283"/>
              <w:jc w:val="both"/>
            </w:pPr>
            <w:r>
              <w:rPr>
                <w:sz w:val="20"/>
              </w:rPr>
              <w:t xml:space="preserve">информационные системы Рособрнадзора;</w:t>
            </w:r>
          </w:p>
          <w:p>
            <w:pPr>
              <w:pStyle w:val="0"/>
              <w:ind w:firstLine="283"/>
              <w:jc w:val="both"/>
            </w:pPr>
            <w:r>
              <w:rPr>
                <w:sz w:val="20"/>
              </w:rPr>
              <w:t xml:space="preserve">отчет о самообследовании профессиональной организации или иные документы, подтверждающие привлечение к проведению регулярной внутренней оценки качества образовательной программы работодателей и их объединения, иных юридических и (или) физических лиц, включая педагогических работников образовательной организации и обучающихся по образовательной программе;</w:t>
            </w:r>
          </w:p>
          <w:p>
            <w:pPr>
              <w:pStyle w:val="0"/>
              <w:ind w:firstLine="283"/>
              <w:jc w:val="both"/>
            </w:pPr>
            <w:r>
              <w:rPr>
                <w:sz w:val="20"/>
              </w:rPr>
              <w:t xml:space="preserve">информация, размещенная на официальном сайте профессиональной организации в сети "Интернет".</w:t>
            </w:r>
          </w:p>
        </w:tc>
      </w:tr>
    </w:tbl>
    <w:p>
      <w:pPr>
        <w:pStyle w:val="0"/>
        <w:jc w:val="both"/>
      </w:pPr>
      <w:r>
        <w:rPr>
          <w:sz w:val="20"/>
        </w:rPr>
      </w:r>
    </w:p>
    <w:p>
      <w:pPr>
        <w:pStyle w:val="0"/>
        <w:ind w:firstLine="540"/>
        <w:jc w:val="both"/>
      </w:pPr>
      <w:r>
        <w:rPr>
          <w:sz w:val="20"/>
        </w:rPr>
        <w:t xml:space="preserve">--------------------------------</w:t>
      </w:r>
    </w:p>
    <w:bookmarkStart w:id="175" w:name="P175"/>
    <w:bookmarkEnd w:id="175"/>
    <w:p>
      <w:pPr>
        <w:pStyle w:val="0"/>
        <w:spacing w:before="200" w:lineRule="auto"/>
        <w:ind w:firstLine="540"/>
        <w:jc w:val="both"/>
      </w:pPr>
      <w:r>
        <w:rPr>
          <w:sz w:val="20"/>
        </w:rPr>
        <w:t xml:space="preserve">&lt;1&gt; </w:t>
      </w:r>
      <w:hyperlink w:history="0" r:id="rId14" w:tooltip="Постановление Правительства РФ от 13.07.2022 N 1241 (ред. от 22.09.2023) &quot;О федеральной государственной информационной системе &quot;Моя школа&quot; и внесении изменения в подпункт &quot;а&quot; пункта 2 Положения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quot; {КонсультантПлюс}">
        <w:r>
          <w:rPr>
            <w:sz w:val="20"/>
            <w:color w:val="0000ff"/>
          </w:rPr>
          <w:t xml:space="preserve">Постановление</w:t>
        </w:r>
      </w:hyperlink>
      <w:r>
        <w:rPr>
          <w:sz w:val="20"/>
        </w:rPr>
        <w:t xml:space="preserve"> Правительства Российской Федерации от 13 июля 2022 г. N 1241 "О федеральной государственной информационной системе "Моя школа" и внесении изменения в подпункт "а" пункта 2 Положения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Минпросвещения России от 14.04.2023 N 272</w:t>
            <w:br/>
            <w:t>"Об утверждении аккредитационных показателей, методики расчета и примен...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10818&amp;dst=637" TargetMode = "External"/><Relationship Id="rId9" Type="http://schemas.openxmlformats.org/officeDocument/2006/relationships/hyperlink" Target="https://login.consultant.ru/link/?req=doc&amp;base=LAW&amp;n=499281&amp;dst=100015" TargetMode = "External"/><Relationship Id="rId10" Type="http://schemas.openxmlformats.org/officeDocument/2006/relationships/hyperlink" Target="https://login.consultant.ru/link/?req=doc&amp;base=LAW&amp;n=499281&amp;dst=33" TargetMode = "External"/><Relationship Id="rId11" Type="http://schemas.openxmlformats.org/officeDocument/2006/relationships/hyperlink" Target="https://login.consultant.ru/link/?req=doc&amp;base=LAW&amp;n=402082" TargetMode = "External"/><Relationship Id="rId12" Type="http://schemas.openxmlformats.org/officeDocument/2006/relationships/image" Target="media/image2.wmf"/><Relationship Id="rId13" Type="http://schemas.openxmlformats.org/officeDocument/2006/relationships/image" Target="media/image3.wmf"/><Relationship Id="rId14" Type="http://schemas.openxmlformats.org/officeDocument/2006/relationships/hyperlink" Target="https://login.consultant.ru/link/?req=doc&amp;base=LAW&amp;n=457940"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14.04.2023 N 272
"Об утверждении аккредитационных показателей, методики расчета и применения аккредитационных показателей по образовательным программам среднего профессионального образования"
(Зарегистрировано в Минюсте России 19.05.2023 N 73369)</dc:title>
  <dcterms:created xsi:type="dcterms:W3CDTF">2026-02-13T07:05:46Z</dcterms:created>
</cp:coreProperties>
</file>